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663" w:type="dxa"/>
        <w:tblLayout w:type="fixed"/>
        <w:tblCellMar>
          <w:left w:w="70" w:type="dxa"/>
          <w:right w:w="70" w:type="dxa"/>
        </w:tblCellMar>
        <w:tblLook w:val="0000"/>
      </w:tblPr>
      <w:tblGrid>
        <w:gridCol w:w="3426"/>
        <w:gridCol w:w="3330"/>
      </w:tblGrid>
      <w:tr w:rsidR="00375D23" w:rsidRPr="00375D23" w:rsidTr="00375D23">
        <w:trPr>
          <w:jc w:val="center"/>
        </w:trPr>
        <w:tc>
          <w:tcPr>
            <w:tcW w:w="3426" w:type="dxa"/>
            <w:tcBorders>
              <w:top w:val="nil"/>
              <w:left w:val="nil"/>
              <w:bottom w:val="nil"/>
              <w:right w:val="nil"/>
            </w:tcBorders>
          </w:tcPr>
          <w:p w:rsidR="00375D23" w:rsidRPr="00375D23" w:rsidRDefault="00375D23" w:rsidP="00375D23">
            <w:pPr>
              <w:pStyle w:val="Ttulos1rengln"/>
              <w:tabs>
                <w:tab w:val="left" w:pos="5103"/>
              </w:tabs>
              <w:spacing w:line="360" w:lineRule="auto"/>
              <w:rPr>
                <w:rFonts w:ascii="Verdana" w:hAnsi="Verdana"/>
                <w:sz w:val="22"/>
                <w:szCs w:val="22"/>
              </w:rPr>
            </w:pPr>
            <w:r w:rsidRPr="00375D23">
              <w:rPr>
                <w:rFonts w:ascii="Verdana" w:hAnsi="Verdana"/>
                <w:sz w:val="22"/>
                <w:szCs w:val="22"/>
              </w:rPr>
              <w:t>EL FRACASO</w:t>
            </w:r>
            <w:r>
              <w:rPr>
                <w:rFonts w:ascii="Verdana" w:hAnsi="Verdana"/>
                <w:sz w:val="22"/>
                <w:szCs w:val="22"/>
              </w:rPr>
              <w:t xml:space="preserve"> </w:t>
            </w:r>
            <w:r w:rsidRPr="00375D23">
              <w:rPr>
                <w:rFonts w:ascii="Verdana" w:hAnsi="Verdana"/>
                <w:sz w:val="22"/>
                <w:szCs w:val="22"/>
              </w:rPr>
              <w:t>DE</w:t>
            </w:r>
            <w:r>
              <w:rPr>
                <w:rFonts w:ascii="Verdana" w:hAnsi="Verdana"/>
                <w:sz w:val="22"/>
                <w:szCs w:val="22"/>
              </w:rPr>
              <w:t xml:space="preserve"> </w:t>
            </w:r>
            <w:r w:rsidRPr="00375D23">
              <w:rPr>
                <w:rFonts w:ascii="Verdana" w:hAnsi="Verdana"/>
                <w:sz w:val="22"/>
                <w:szCs w:val="22"/>
              </w:rPr>
              <w:t>LAS</w:t>
            </w:r>
          </w:p>
          <w:p w:rsidR="00375D23" w:rsidRPr="00375D23" w:rsidRDefault="00375D23" w:rsidP="00375D23">
            <w:pPr>
              <w:pStyle w:val="Ttulos"/>
              <w:tabs>
                <w:tab w:val="left" w:pos="5103"/>
              </w:tabs>
              <w:spacing w:line="360" w:lineRule="auto"/>
              <w:rPr>
                <w:rFonts w:ascii="Verdana" w:hAnsi="Verdana"/>
                <w:b w:val="0"/>
                <w:sz w:val="22"/>
                <w:szCs w:val="22"/>
              </w:rPr>
            </w:pPr>
            <w:r w:rsidRPr="00375D23">
              <w:rPr>
                <w:rFonts w:ascii="Verdana" w:hAnsi="Verdana"/>
                <w:sz w:val="22"/>
                <w:szCs w:val="22"/>
              </w:rPr>
              <w:t>PROPUESTAS ÉTICAS</w:t>
            </w:r>
          </w:p>
        </w:tc>
        <w:tc>
          <w:tcPr>
            <w:tcW w:w="3330" w:type="dxa"/>
            <w:tcBorders>
              <w:top w:val="nil"/>
              <w:left w:val="nil"/>
              <w:bottom w:val="nil"/>
              <w:right w:val="nil"/>
            </w:tcBorders>
          </w:tcPr>
          <w:p w:rsidR="00375D23" w:rsidRPr="00375D23" w:rsidRDefault="00375D23" w:rsidP="00375D23">
            <w:pPr>
              <w:pStyle w:val="Autoren1rengln"/>
              <w:tabs>
                <w:tab w:val="left" w:pos="5103"/>
              </w:tabs>
              <w:spacing w:line="360" w:lineRule="auto"/>
              <w:rPr>
                <w:rFonts w:ascii="Verdana" w:hAnsi="Verdana"/>
                <w:sz w:val="22"/>
                <w:szCs w:val="22"/>
              </w:rPr>
            </w:pPr>
            <w:r w:rsidRPr="00375D23">
              <w:rPr>
                <w:rFonts w:ascii="Verdana" w:hAnsi="Verdana"/>
                <w:sz w:val="22"/>
                <w:szCs w:val="22"/>
              </w:rPr>
              <w:t>Gador Flores</w:t>
            </w:r>
          </w:p>
          <w:p w:rsidR="00375D23" w:rsidRPr="00375D23" w:rsidRDefault="00375D23" w:rsidP="00375D23">
            <w:pPr>
              <w:pStyle w:val="AutorenTtulo"/>
              <w:tabs>
                <w:tab w:val="left" w:pos="5103"/>
              </w:tabs>
              <w:spacing w:line="360" w:lineRule="auto"/>
              <w:rPr>
                <w:rFonts w:ascii="Verdana" w:hAnsi="Verdana"/>
                <w:sz w:val="22"/>
                <w:szCs w:val="22"/>
              </w:rPr>
            </w:pPr>
            <w:r w:rsidRPr="00375D23">
              <w:rPr>
                <w:rFonts w:ascii="Verdana" w:hAnsi="Verdana"/>
                <w:sz w:val="22"/>
                <w:szCs w:val="22"/>
              </w:rPr>
              <w:t>María Angustias Pérez</w:t>
            </w:r>
          </w:p>
          <w:p w:rsidR="00375D23" w:rsidRPr="00375D23" w:rsidRDefault="00375D23" w:rsidP="00375D23">
            <w:pPr>
              <w:pStyle w:val="AutorenTtulo"/>
              <w:tabs>
                <w:tab w:val="left" w:pos="5103"/>
              </w:tabs>
              <w:spacing w:after="0" w:line="360" w:lineRule="auto"/>
              <w:rPr>
                <w:rFonts w:ascii="Verdana" w:hAnsi="Verdana"/>
                <w:b/>
                <w:sz w:val="22"/>
                <w:szCs w:val="22"/>
              </w:rPr>
            </w:pPr>
          </w:p>
        </w:tc>
      </w:tr>
    </w:tbl>
    <w:p w:rsidR="00375D23" w:rsidRPr="00375D23" w:rsidRDefault="00375D23" w:rsidP="00375D23">
      <w:pPr>
        <w:pStyle w:val="Prrafo1"/>
        <w:tabs>
          <w:tab w:val="left" w:pos="5103"/>
        </w:tabs>
        <w:spacing w:line="360" w:lineRule="auto"/>
        <w:rPr>
          <w:rFonts w:ascii="Verdana" w:hAnsi="Verdana"/>
          <w:sz w:val="22"/>
          <w:szCs w:val="22"/>
        </w:rPr>
      </w:pPr>
      <w:r w:rsidRPr="00375D23">
        <w:rPr>
          <w:rFonts w:ascii="Verdana" w:hAnsi="Verdana"/>
          <w:sz w:val="22"/>
          <w:szCs w:val="22"/>
        </w:rPr>
        <w:t>El capitalismo ha logrado expulsar al amor y sustituirlo por el odio. Decía el teólogo portugués Abilio Pina</w:t>
      </w:r>
      <w:r w:rsidR="00EE314A" w:rsidRPr="00375D23">
        <w:rPr>
          <w:rFonts w:ascii="Verdana" w:hAnsi="Verdana"/>
          <w:sz w:val="22"/>
          <w:szCs w:val="22"/>
        </w:rPr>
        <w:fldChar w:fldCharType="begin"/>
      </w:r>
      <w:r w:rsidRPr="00375D23">
        <w:rPr>
          <w:rFonts w:ascii="Verdana" w:hAnsi="Verdana"/>
          <w:sz w:val="22"/>
          <w:szCs w:val="22"/>
        </w:rPr>
        <w:instrText>xe "Pina Abilio"</w:instrText>
      </w:r>
      <w:r w:rsidR="00EE314A" w:rsidRPr="00375D23">
        <w:rPr>
          <w:rFonts w:ascii="Verdana" w:hAnsi="Verdana"/>
          <w:sz w:val="22"/>
          <w:szCs w:val="22"/>
        </w:rPr>
        <w:fldChar w:fldCharType="end"/>
      </w:r>
      <w:r w:rsidRPr="00375D23">
        <w:rPr>
          <w:rFonts w:ascii="Verdana" w:hAnsi="Verdana"/>
          <w:sz w:val="22"/>
          <w:szCs w:val="22"/>
        </w:rPr>
        <w:t>, citando a un escritor inglés, que hay tres especies de inteligencia: humana, animal y militar, la más diabólica y destructi</w:t>
      </w:r>
      <w:r w:rsidRPr="00375D23">
        <w:rPr>
          <w:rFonts w:ascii="Verdana" w:hAnsi="Verdana"/>
          <w:sz w:val="22"/>
          <w:szCs w:val="22"/>
        </w:rPr>
        <w:softHyphen/>
        <w:t>va. La fantasía de Dante</w:t>
      </w:r>
      <w:r w:rsidR="00EE314A" w:rsidRPr="00375D23">
        <w:rPr>
          <w:rFonts w:ascii="Verdana" w:hAnsi="Verdana"/>
          <w:sz w:val="22"/>
          <w:szCs w:val="22"/>
        </w:rPr>
        <w:fldChar w:fldCharType="begin"/>
      </w:r>
      <w:r w:rsidRPr="00375D23">
        <w:rPr>
          <w:rFonts w:ascii="Verdana" w:hAnsi="Verdana"/>
          <w:sz w:val="22"/>
          <w:szCs w:val="22"/>
        </w:rPr>
        <w:instrText>xe "Dante"</w:instrText>
      </w:r>
      <w:r w:rsidR="00EE314A" w:rsidRPr="00375D23">
        <w:rPr>
          <w:rFonts w:ascii="Verdana" w:hAnsi="Verdana"/>
          <w:sz w:val="22"/>
          <w:szCs w:val="22"/>
        </w:rPr>
        <w:fldChar w:fldCharType="end"/>
      </w:r>
      <w:r w:rsidRPr="00375D23">
        <w:rPr>
          <w:rFonts w:ascii="Verdana" w:hAnsi="Verdana"/>
          <w:sz w:val="22"/>
          <w:szCs w:val="22"/>
        </w:rPr>
        <w:t xml:space="preserve"> en su pintura sobre el infierno se queda pobre, escenas más terribles vemos diariamente: lluvia de fuego, Bagdad y otras ciudades convertidas en una inmensa nube negra. Odio, violencia, sangre. Kennedy afirmaba: "O la humanidad pone fin a la guerra, o la guerra pone fin a la humanidad". Parar esta aventura sin retorno, pérdida de vidas humanas y vidas envenenadas. Epidemia y epidemias de odio. “Yo soy ese que odio", dice Lacan. </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Si interrogamos la actualidad, constatamos el fracaso de las propuestas éticas, quizá desde que la cuestión del bien se reduce a la de los bienes, y deja de plantearse un trabajo posible sobre el deseo. Nos hemos preguntado: ¿qué significa el odio y cómo se localiza?, ¿la agresividad es el odio?, ¿qué relación guarda el odio con los bienes y el goce del Otro?, ¿cómo se relaciona con la envidia, los celos y el amor?, ¿qué son los discursos del saber, el del amo y el discurso capitalista?, ¿hay relación entre la pulsión de muerte y el sujeto de las epidemias capitalistas o poscapitalistas, la guerra, la xenofobia y la expulsión de la mayoría de la población mundial?</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 xml:space="preserve">La mirada sobre lo actual y los textos psicoanalíticos y filosóficos, nos llevan al abordaje de ese fracaso de las propuestas éticas y a la cuestión que Freud, en el texto </w:t>
      </w:r>
      <w:r w:rsidRPr="00375D23">
        <w:rPr>
          <w:rFonts w:ascii="Verdana" w:hAnsi="Verdana"/>
          <w:i/>
          <w:sz w:val="22"/>
          <w:szCs w:val="22"/>
        </w:rPr>
        <w:t>Consideraciones sobre la guerra</w:t>
      </w:r>
      <w:r w:rsidR="00EE314A" w:rsidRPr="00375D23">
        <w:rPr>
          <w:rFonts w:ascii="Verdana" w:hAnsi="Verdana"/>
          <w:i/>
          <w:sz w:val="22"/>
          <w:szCs w:val="22"/>
        </w:rPr>
        <w:fldChar w:fldCharType="begin"/>
      </w:r>
      <w:r w:rsidRPr="00375D23">
        <w:rPr>
          <w:rFonts w:ascii="Verdana" w:hAnsi="Verdana"/>
          <w:sz w:val="22"/>
          <w:szCs w:val="22"/>
        </w:rPr>
        <w:instrText>xe "guerra, en Freud"</w:instrText>
      </w:r>
      <w:r w:rsidR="00EE314A" w:rsidRPr="00375D23">
        <w:rPr>
          <w:rFonts w:ascii="Verdana" w:hAnsi="Verdana"/>
          <w:i/>
          <w:sz w:val="22"/>
          <w:szCs w:val="22"/>
        </w:rPr>
        <w:fldChar w:fldCharType="end"/>
      </w:r>
      <w:r w:rsidRPr="00375D23">
        <w:rPr>
          <w:rFonts w:ascii="Verdana" w:hAnsi="Verdana"/>
          <w:sz w:val="22"/>
          <w:szCs w:val="22"/>
        </w:rPr>
        <w:t xml:space="preserve">, formula de manera fulminante. </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 xml:space="preserve">Acabar con la guerra es imposible mientras las condiciones de existencia de los pueblos sean tan distintas y tan violentas las repulsiones entre ellos. ¿No debemos ser nosotros los que cedamos y nos adaptemos a ella? Esto no parece construir un progreso, sino más bien una regresión, pero ofrece la ventaja de tener más en cuenta la verdad y hacer más soportable la vida. Si </w:t>
      </w:r>
      <w:r w:rsidRPr="00375D23">
        <w:rPr>
          <w:rFonts w:ascii="Verdana" w:hAnsi="Verdana"/>
          <w:sz w:val="22"/>
          <w:szCs w:val="22"/>
        </w:rPr>
        <w:lastRenderedPageBreak/>
        <w:t>quieres soportar la vida, prepárate para la muerte. No es muy alentadora la posición de Freud, no sólo aquí sino en gran parte de su obra, en relación a la posibilidad de la supresión de los llamados males de la humanidad.</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En relación al fracaso de las propuestas éticas, señalamos el fracaso de las éticas universalizantes</w:t>
      </w:r>
      <w:r w:rsidR="00EE314A" w:rsidRPr="00375D23">
        <w:rPr>
          <w:rFonts w:ascii="Verdana" w:hAnsi="Verdana"/>
          <w:sz w:val="22"/>
          <w:szCs w:val="22"/>
        </w:rPr>
        <w:fldChar w:fldCharType="begin"/>
      </w:r>
      <w:r w:rsidRPr="00375D23">
        <w:rPr>
          <w:rFonts w:ascii="Verdana" w:hAnsi="Verdana"/>
          <w:sz w:val="22"/>
          <w:szCs w:val="22"/>
        </w:rPr>
        <w:instrText>xe "éticas universalizantes"</w:instrText>
      </w:r>
      <w:r w:rsidR="00EE314A" w:rsidRPr="00375D23">
        <w:rPr>
          <w:rFonts w:ascii="Verdana" w:hAnsi="Verdana"/>
          <w:sz w:val="22"/>
          <w:szCs w:val="22"/>
        </w:rPr>
        <w:fldChar w:fldCharType="end"/>
      </w:r>
      <w:r w:rsidRPr="00375D23">
        <w:rPr>
          <w:rFonts w:ascii="Verdana" w:hAnsi="Verdana"/>
          <w:sz w:val="22"/>
          <w:szCs w:val="22"/>
        </w:rPr>
        <w:t>, de las éticas racionales, de la marxista y la cristiana, por coger las que están más en relación, en este momento, con nuestra cultura.</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Según z</w:t>
      </w:r>
      <w:r w:rsidRPr="00375D23">
        <w:rPr>
          <w:rFonts w:ascii="Verdana" w:hAnsi="Verdana"/>
          <w:sz w:val="22"/>
          <w:szCs w:val="22"/>
        </w:rPr>
        <w:sym w:font="Gredos Extended" w:char="0026"/>
      </w:r>
      <w:r w:rsidRPr="00375D23">
        <w:rPr>
          <w:rFonts w:ascii="Verdana" w:hAnsi="Verdana"/>
          <w:sz w:val="22"/>
          <w:szCs w:val="22"/>
        </w:rPr>
        <w:t>iz</w:t>
      </w:r>
      <w:r w:rsidRPr="00375D23">
        <w:rPr>
          <w:rFonts w:ascii="Verdana" w:hAnsi="Verdana"/>
          <w:sz w:val="22"/>
          <w:szCs w:val="22"/>
        </w:rPr>
        <w:sym w:font="Gredos Extended" w:char="0026"/>
      </w:r>
      <w:r w:rsidRPr="00375D23">
        <w:rPr>
          <w:rFonts w:ascii="Verdana" w:hAnsi="Verdana"/>
          <w:sz w:val="22"/>
          <w:szCs w:val="22"/>
        </w:rPr>
        <w:t>ek</w:t>
      </w:r>
      <w:r w:rsidR="00EE314A" w:rsidRPr="00375D23">
        <w:rPr>
          <w:rFonts w:ascii="Verdana" w:hAnsi="Verdana"/>
          <w:sz w:val="22"/>
          <w:szCs w:val="22"/>
        </w:rPr>
        <w:fldChar w:fldCharType="begin"/>
      </w:r>
      <w:r w:rsidRPr="00375D23">
        <w:rPr>
          <w:rFonts w:ascii="Verdana" w:hAnsi="Verdana"/>
          <w:sz w:val="22"/>
          <w:szCs w:val="22"/>
        </w:rPr>
        <w:instrText>xe "z</w:instrText>
      </w:r>
      <w:r w:rsidRPr="00375D23">
        <w:rPr>
          <w:rFonts w:ascii="Verdana" w:hAnsi="Verdana"/>
          <w:sz w:val="22"/>
          <w:szCs w:val="22"/>
        </w:rPr>
        <w:sym w:font="Gredos Extended" w:char="0026"/>
      </w:r>
      <w:r w:rsidRPr="00375D23">
        <w:rPr>
          <w:rFonts w:ascii="Verdana" w:hAnsi="Verdana"/>
          <w:sz w:val="22"/>
          <w:szCs w:val="22"/>
        </w:rPr>
        <w:instrText>iz</w:instrText>
      </w:r>
      <w:r w:rsidRPr="00375D23">
        <w:rPr>
          <w:rFonts w:ascii="Verdana" w:hAnsi="Verdana"/>
          <w:sz w:val="22"/>
          <w:szCs w:val="22"/>
        </w:rPr>
        <w:sym w:font="Gredos Extended" w:char="0026"/>
      </w:r>
      <w:r w:rsidRPr="00375D23">
        <w:rPr>
          <w:rFonts w:ascii="Verdana" w:hAnsi="Verdana"/>
          <w:sz w:val="22"/>
          <w:szCs w:val="22"/>
        </w:rPr>
        <w:instrText>ek Slavoj"</w:instrText>
      </w:r>
      <w:r w:rsidR="00EE314A" w:rsidRPr="00375D23">
        <w:rPr>
          <w:rFonts w:ascii="Verdana" w:hAnsi="Verdana"/>
          <w:sz w:val="22"/>
          <w:szCs w:val="22"/>
        </w:rPr>
        <w:fldChar w:fldCharType="end"/>
      </w:r>
      <w:r w:rsidRPr="00375D23">
        <w:rPr>
          <w:rFonts w:ascii="Verdana" w:hAnsi="Verdana"/>
          <w:sz w:val="22"/>
          <w:szCs w:val="22"/>
        </w:rPr>
        <w:t xml:space="preserve">, las éticas universalizantes de la democracia formal, expresadas como "todas las personas con independencia de su raza, sexo, religión, riqueza, son iguales ante la ley", suponen una abstracción y una mistificación, ya que no están hechas a medida de los hombres y son carentes de corazón. </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 xml:space="preserve">La democracia es en sí el vínculo formal entre individuos abstractos, una abstracción entre individuos abstractos y el burgués portador de intereses particulares. Es decir, el burgués sí tiene sus intereses claros. Pero podemos preguntar: tanto el ciudadano de a pie como el burgués, ¿no se las tienen que ver con el deseo, con la verdad más íntima del desconocimiento? El deseo del hombre es el deseo del Otro, y también ese hombre se pone en relación con otros deseos imaginarios de los otros, los semejantes, aquellos que pueden robar el goce, que pueden desear mi muerte. </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 xml:space="preserve">El semejante, el diferente, tiene algo, es poseedor de bienes: petróleo, dinero, objetos. Y también posee otros bienes: un cuerpo diferente, color, lengua, voces, miradas, vestidos diferentes. Apropiarse esos bienes, esos restos asociados al goce del otro, es la pregunta por ¿cómo goza el otro? y, también, ¿qué hay que pagar por arrebatar al otro sus bienes? Se paga con la guerra, la xenofobia, la muerte y la mutilación. </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La ética formal kantiana</w:t>
      </w:r>
      <w:r w:rsidR="00EE314A" w:rsidRPr="00375D23">
        <w:rPr>
          <w:rFonts w:ascii="Verdana" w:hAnsi="Verdana"/>
          <w:sz w:val="22"/>
          <w:szCs w:val="22"/>
        </w:rPr>
        <w:fldChar w:fldCharType="begin"/>
      </w:r>
      <w:r w:rsidRPr="00375D23">
        <w:rPr>
          <w:rFonts w:ascii="Verdana" w:hAnsi="Verdana"/>
          <w:sz w:val="22"/>
          <w:szCs w:val="22"/>
        </w:rPr>
        <w:instrText>xe "ética kantiana"</w:instrText>
      </w:r>
      <w:r w:rsidR="00EE314A" w:rsidRPr="00375D23">
        <w:rPr>
          <w:rFonts w:ascii="Verdana" w:hAnsi="Verdana"/>
          <w:sz w:val="22"/>
          <w:szCs w:val="22"/>
        </w:rPr>
        <w:fldChar w:fldCharType="end"/>
      </w:r>
      <w:r w:rsidRPr="00375D23">
        <w:rPr>
          <w:rFonts w:ascii="Verdana" w:hAnsi="Verdana"/>
          <w:sz w:val="22"/>
          <w:szCs w:val="22"/>
        </w:rPr>
        <w:t xml:space="preserve"> del "actúa por deber", esta ética que plantea "actúa como si tu acción sirviera para todos", se queda corta en cuanto al deseo. Lacan pone el deseo en lugar de ese vacío formal kantiano, el imperativo categórico sustituido por “no ceder en el deseo”. </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 xml:space="preserve">El deseo no es el goce ni el goce sádico. Tal como entendemos la lectura de </w:t>
      </w:r>
      <w:r w:rsidRPr="00375D23">
        <w:rPr>
          <w:rFonts w:ascii="Verdana" w:hAnsi="Verdana"/>
          <w:i/>
          <w:sz w:val="22"/>
          <w:szCs w:val="22"/>
        </w:rPr>
        <w:t>Kant con Sade</w:t>
      </w:r>
      <w:r w:rsidRPr="00375D23">
        <w:rPr>
          <w:rFonts w:ascii="Verdana" w:hAnsi="Verdana"/>
          <w:sz w:val="22"/>
          <w:szCs w:val="22"/>
        </w:rPr>
        <w:t xml:space="preserve">, nos parece que la cuestión del deseo se podía considerar como </w:t>
      </w:r>
      <w:r w:rsidRPr="00375D23">
        <w:rPr>
          <w:rFonts w:ascii="Verdana" w:hAnsi="Verdana"/>
          <w:sz w:val="22"/>
          <w:szCs w:val="22"/>
        </w:rPr>
        <w:lastRenderedPageBreak/>
        <w:t>una síntesis entre la cuestión kantiana y la cuestión sadiana. La sustitución que hace Sade del "actúa por deber" por el goce sobre el cuerpo del otro, que evidentemente no puede ser universal, ya que ese cuerpo del cual yo puedo gozar, el otro puede consentir o no consentir y no tendría derecho todo el mundo a ese goce. Tendrían que estar los que gozan y los que son gozados. Pensamos que el deseo abre ahí una posibilidad en cuanto al trabajo con lo simbólico, de articular el goce y la ley.</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El discurso del amo, en cuanto a los deseos, está claro: en cuanto a los deseos pueden esperar sentados, que esperen, ustedes produzcan. No podríamos obviar la ética cristiana, como inseparable de la cultura, la sociedad y la política de occidente. El dios cristiano promulga el triunfo del amor. Freud ya vio la imposibilidad del mandamiento "ama a tu prójimo como a tí mismo". ¿Son merecedores de amor todos los prójimos? Sería, quizá, una propuesta injusta, sobre todo cuando el prójimo es aquel que puede robar el goce. Es posible que el dios del amor cristiano pueda responder a la demanda, en el sentido, de que en sí toda demanda es demanda de amor. De ahí también se puede entender el éxito de cierto cristianismo.</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 xml:space="preserve">La línea griega y aristotélica, fuentes de las que bebe la teología cristiana, ahí se unen ética y estética. Para Aristóteles la idea de un dios sacrificado sería antiestética e irracional, pues en la idea griega, lo bello, lo bueno y la verdad son inseparables. Esto lo retoma cierto cristianismo y en esta línea se encuentran algunos teólogos de la teología de la liberación, muy implicada en el proceso social sobre todo en Sudamérica: se presenta un dios del amor que expulsa la idea de pecado y de sacrificio. Pero, ¿cómo entender el amor sin odio? </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 xml:space="preserve">En relación a los bienes y al bien, para Lacan el bien es la máscara del mal radical y absoluto. Vincula el ascenso del racismo con la universalización, en la medida que la universalización de los bienes se opone al deseo y desconoce el goce individual ya que no considera que los bienes de los otros puedan ser diferentes a los míos y no a imagen. “Lo que quiero es el bien de los otros a imagen del mío, a condición de que siga siendo a imagen del mío”, “el dominio </w:t>
      </w:r>
      <w:r w:rsidRPr="00375D23">
        <w:rPr>
          <w:rFonts w:ascii="Verdana" w:hAnsi="Verdana"/>
          <w:sz w:val="22"/>
          <w:szCs w:val="22"/>
        </w:rPr>
        <w:lastRenderedPageBreak/>
        <w:t>del bien es el nacimiento del poder, disponer de sus bienes es el derecho a privar otros de ellos”.</w:t>
      </w:r>
      <w:r w:rsidRPr="00375D23">
        <w:rPr>
          <w:rStyle w:val="Refdenotaalpie"/>
          <w:rFonts w:ascii="Verdana" w:hAnsi="Verdana"/>
          <w:sz w:val="22"/>
          <w:szCs w:val="22"/>
        </w:rPr>
        <w:footnoteReference w:id="2"/>
      </w:r>
      <w:r w:rsidRPr="00375D23">
        <w:rPr>
          <w:rFonts w:ascii="Verdana" w:hAnsi="Verdana"/>
          <w:sz w:val="22"/>
          <w:szCs w:val="22"/>
        </w:rPr>
        <w:t xml:space="preserve"> </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El bien no está unido a la necesidad. En la riqueza hay un valor de uso, pero existe su utilización de goce; valor de uso, valor de goce. Ese plus de goce, la plusvalía, fundamental para el sistema capitalis</w:t>
      </w:r>
      <w:r w:rsidRPr="00375D23">
        <w:rPr>
          <w:rFonts w:ascii="Verdana" w:hAnsi="Verdana"/>
          <w:sz w:val="22"/>
          <w:szCs w:val="22"/>
        </w:rPr>
        <w:softHyphen/>
        <w:t>ta, aporta a los individuos un consumo feroz de objetos, de dinero y de afectos, incompatible todo ello con el goce de otros y con cualquier forma de humanismo y de reparto de bienes al que apunta la ética marxista. El resultado es un individuo enfrentado a una insatisfacción permanente, que no puede compartir con ningún otro.</w:t>
      </w:r>
    </w:p>
    <w:p w:rsidR="00375D23" w:rsidRPr="00375D23" w:rsidRDefault="00375D23" w:rsidP="00375D23">
      <w:pPr>
        <w:pStyle w:val="Prrafo2"/>
        <w:tabs>
          <w:tab w:val="left" w:pos="5103"/>
        </w:tabs>
        <w:spacing w:line="360" w:lineRule="auto"/>
        <w:rPr>
          <w:rFonts w:ascii="Verdana" w:hAnsi="Verdana"/>
          <w:sz w:val="22"/>
          <w:szCs w:val="22"/>
        </w:rPr>
      </w:pPr>
      <w:r w:rsidRPr="00375D23">
        <w:rPr>
          <w:rFonts w:ascii="Verdana" w:hAnsi="Verdana"/>
          <w:sz w:val="22"/>
          <w:szCs w:val="22"/>
        </w:rPr>
        <w:t>Para finalizar, preguntarnos si hay todavía posibilidad del trabajo de la función simbólica, y qué haría posible volver a unir al individuo con la comunidad.</w:t>
      </w:r>
    </w:p>
    <w:p w:rsidR="00375D23" w:rsidRDefault="00375D23" w:rsidP="00375D23">
      <w:pPr>
        <w:pStyle w:val="Prrafo1"/>
        <w:tabs>
          <w:tab w:val="left" w:pos="5103"/>
        </w:tabs>
        <w:spacing w:line="360" w:lineRule="auto"/>
        <w:rPr>
          <w:rFonts w:ascii="Verdana" w:hAnsi="Verdana"/>
          <w:sz w:val="22"/>
          <w:szCs w:val="22"/>
        </w:rPr>
      </w:pPr>
    </w:p>
    <w:p w:rsidR="00F47D02" w:rsidRPr="0039394A" w:rsidRDefault="00F47D02" w:rsidP="00F47D02">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w:t>
      </w:r>
      <w:r w:rsidRPr="0039394A">
        <w:rPr>
          <w:rFonts w:ascii="Verdana" w:hAnsi="Verdana"/>
          <w:sz w:val="22"/>
          <w:szCs w:val="22"/>
        </w:rPr>
        <w:t>r</w:t>
      </w:r>
      <w:r w:rsidRPr="0039394A">
        <w:rPr>
          <w:rFonts w:ascii="Verdana" w:hAnsi="Verdana"/>
          <w:sz w:val="22"/>
          <w:szCs w:val="22"/>
        </w:rPr>
        <w:t>sidad de Granada, 2004.</w:t>
      </w:r>
    </w:p>
    <w:p w:rsidR="00F47D02" w:rsidRPr="00375D23" w:rsidRDefault="00F47D02" w:rsidP="00375D23">
      <w:pPr>
        <w:pStyle w:val="Prrafo1"/>
        <w:tabs>
          <w:tab w:val="left" w:pos="5103"/>
        </w:tabs>
        <w:spacing w:line="360" w:lineRule="auto"/>
        <w:rPr>
          <w:rFonts w:ascii="Verdana" w:hAnsi="Verdana"/>
          <w:sz w:val="22"/>
          <w:szCs w:val="22"/>
        </w:rPr>
      </w:pPr>
    </w:p>
    <w:sectPr w:rsidR="00F47D02" w:rsidRPr="00375D23" w:rsidSect="0060689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1A0" w:rsidRDefault="004F41A0" w:rsidP="00375D23">
      <w:pPr>
        <w:pStyle w:val="AutorenTtulo"/>
        <w:spacing w:after="0"/>
      </w:pPr>
      <w:r>
        <w:separator/>
      </w:r>
    </w:p>
  </w:endnote>
  <w:endnote w:type="continuationSeparator" w:id="1">
    <w:p w:rsidR="004F41A0" w:rsidRDefault="004F41A0" w:rsidP="00375D23">
      <w:pPr>
        <w:pStyle w:val="AutorenTtulo"/>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redos Extended">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1A0" w:rsidRDefault="004F41A0" w:rsidP="00375D23">
      <w:pPr>
        <w:pStyle w:val="AutorenTtulo"/>
        <w:spacing w:after="0"/>
      </w:pPr>
      <w:r>
        <w:separator/>
      </w:r>
    </w:p>
  </w:footnote>
  <w:footnote w:type="continuationSeparator" w:id="1">
    <w:p w:rsidR="004F41A0" w:rsidRDefault="004F41A0" w:rsidP="00375D23">
      <w:pPr>
        <w:pStyle w:val="AutorenTtulo"/>
        <w:spacing w:after="0"/>
      </w:pPr>
      <w:r>
        <w:continuationSeparator/>
      </w:r>
    </w:p>
  </w:footnote>
  <w:footnote w:id="2">
    <w:p w:rsidR="00375D23" w:rsidRDefault="00375D23" w:rsidP="00375D23">
      <w:pPr>
        <w:pStyle w:val="Notasalpie"/>
      </w:pPr>
      <w:r>
        <w:rPr>
          <w:rStyle w:val="Refdenotaalpie"/>
        </w:rPr>
        <w:footnoteRef/>
      </w:r>
      <w:r>
        <w:t xml:space="preserve"> J. Lacan, </w:t>
      </w:r>
      <w:r>
        <w:rPr>
          <w:i/>
        </w:rPr>
        <w:t>Seminario 7, La ética del psicoanálisis</w:t>
      </w:r>
      <w:r>
        <w:t>, Paidós.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75D23"/>
    <w:rsid w:val="00375D23"/>
    <w:rsid w:val="004F41A0"/>
    <w:rsid w:val="00606897"/>
    <w:rsid w:val="007E3DA7"/>
    <w:rsid w:val="00881DE6"/>
    <w:rsid w:val="00EE314A"/>
    <w:rsid w:val="00F01E49"/>
    <w:rsid w:val="00F47D02"/>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rsid w:val="00375D23"/>
    <w:rPr>
      <w:rFonts w:ascii="Arial" w:hAnsi="Arial" w:cs="Times New Roman"/>
      <w:sz w:val="20"/>
      <w:vertAlign w:val="superscript"/>
    </w:rPr>
  </w:style>
  <w:style w:type="paragraph" w:customStyle="1" w:styleId="Ttulos">
    <w:name w:val="Títulos"/>
    <w:basedOn w:val="Normal"/>
    <w:rsid w:val="00375D23"/>
    <w:pPr>
      <w:widowControl w:val="0"/>
      <w:tabs>
        <w:tab w:val="left" w:pos="5716"/>
        <w:tab w:val="left" w:pos="6342"/>
        <w:tab w:val="left" w:pos="6379"/>
      </w:tabs>
      <w:spacing w:after="840"/>
      <w:jc w:val="right"/>
    </w:pPr>
    <w:rPr>
      <w:rFonts w:ascii="Arial" w:hAnsi="Arial"/>
      <w:b/>
      <w:kern w:val="2"/>
      <w:sz w:val="18"/>
    </w:rPr>
  </w:style>
  <w:style w:type="paragraph" w:customStyle="1" w:styleId="AutorenTtulo">
    <w:name w:val="AutorenTítulo"/>
    <w:basedOn w:val="Normal"/>
    <w:rsid w:val="00375D23"/>
    <w:pPr>
      <w:widowControl w:val="0"/>
      <w:tabs>
        <w:tab w:val="left" w:pos="5716"/>
        <w:tab w:val="left" w:pos="6342"/>
        <w:tab w:val="left" w:pos="6379"/>
      </w:tabs>
      <w:suppressAutoHyphens/>
      <w:spacing w:after="840"/>
    </w:pPr>
    <w:rPr>
      <w:rFonts w:ascii="Arial" w:hAnsi="Arial"/>
      <w:caps/>
      <w:kern w:val="2"/>
      <w:sz w:val="18"/>
    </w:rPr>
  </w:style>
  <w:style w:type="paragraph" w:customStyle="1" w:styleId="Ttulos1rengln">
    <w:name w:val="Títulos1renglón"/>
    <w:basedOn w:val="Normal"/>
    <w:rsid w:val="00375D23"/>
    <w:pPr>
      <w:widowControl w:val="0"/>
      <w:tabs>
        <w:tab w:val="left" w:pos="5716"/>
        <w:tab w:val="left" w:pos="6342"/>
        <w:tab w:val="left" w:pos="6379"/>
      </w:tabs>
      <w:jc w:val="right"/>
    </w:pPr>
    <w:rPr>
      <w:rFonts w:ascii="Arial" w:hAnsi="Arial"/>
      <w:b/>
      <w:kern w:val="2"/>
      <w:sz w:val="18"/>
    </w:rPr>
  </w:style>
  <w:style w:type="paragraph" w:customStyle="1" w:styleId="Autoren1rengln">
    <w:name w:val="Autoren1renglón"/>
    <w:basedOn w:val="Normal"/>
    <w:rsid w:val="00375D23"/>
    <w:pPr>
      <w:widowControl w:val="0"/>
      <w:tabs>
        <w:tab w:val="left" w:pos="5716"/>
        <w:tab w:val="left" w:pos="6342"/>
        <w:tab w:val="left" w:pos="6379"/>
      </w:tabs>
      <w:suppressAutoHyphens/>
    </w:pPr>
    <w:rPr>
      <w:rFonts w:ascii="Arial" w:hAnsi="Arial"/>
      <w:caps/>
      <w:kern w:val="2"/>
      <w:sz w:val="18"/>
    </w:rPr>
  </w:style>
  <w:style w:type="paragraph" w:customStyle="1" w:styleId="Prrafo1">
    <w:name w:val="Párrafo1"/>
    <w:basedOn w:val="Normal"/>
    <w:rsid w:val="00375D23"/>
    <w:pPr>
      <w:tabs>
        <w:tab w:val="left" w:pos="5716"/>
        <w:tab w:val="left" w:pos="6342"/>
        <w:tab w:val="left" w:pos="6379"/>
      </w:tabs>
      <w:jc w:val="both"/>
    </w:pPr>
    <w:rPr>
      <w:rFonts w:ascii="Arial" w:hAnsi="Arial"/>
      <w:kern w:val="2"/>
    </w:rPr>
  </w:style>
  <w:style w:type="paragraph" w:customStyle="1" w:styleId="Notasalpie">
    <w:name w:val="Notas al pie"/>
    <w:rsid w:val="00375D23"/>
    <w:pPr>
      <w:overflowPunct w:val="0"/>
      <w:autoSpaceDE w:val="0"/>
      <w:autoSpaceDN w:val="0"/>
      <w:adjustRightInd w:val="0"/>
      <w:spacing w:after="0" w:line="240" w:lineRule="auto"/>
      <w:textAlignment w:val="baseline"/>
    </w:pPr>
    <w:rPr>
      <w:rFonts w:ascii="Arial" w:eastAsia="Times New Roman" w:hAnsi="Arial" w:cs="Times New Roman"/>
      <w:sz w:val="16"/>
      <w:szCs w:val="20"/>
      <w:lang w:val="es-ES" w:eastAsia="es-AR"/>
    </w:rPr>
  </w:style>
  <w:style w:type="paragraph" w:customStyle="1" w:styleId="Prrafo2">
    <w:name w:val="Párrafo2"/>
    <w:basedOn w:val="Normal"/>
    <w:rsid w:val="00375D23"/>
    <w:pPr>
      <w:tabs>
        <w:tab w:val="left" w:pos="5716"/>
        <w:tab w:val="left" w:pos="6342"/>
        <w:tab w:val="left" w:pos="6379"/>
      </w:tabs>
      <w:ind w:firstLine="227"/>
      <w:jc w:val="both"/>
    </w:pPr>
    <w:rPr>
      <w:rFonts w:ascii="Arial" w:hAnsi="Arial"/>
      <w:kern w:val="2"/>
    </w:rPr>
  </w:style>
  <w:style w:type="paragraph" w:styleId="Textonotapie">
    <w:name w:val="footnote text"/>
    <w:next w:val="Notasalpie"/>
    <w:link w:val="TextonotapieCar"/>
    <w:uiPriority w:val="99"/>
    <w:semiHidden/>
    <w:unhideWhenUsed/>
    <w:rsid w:val="00375D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customStyle="1" w:styleId="TextonotapieCar">
    <w:name w:val="Texto nota pie Car"/>
    <w:basedOn w:val="Fuentedeprrafopredeter"/>
    <w:link w:val="Textonotapie"/>
    <w:uiPriority w:val="99"/>
    <w:semiHidden/>
    <w:rsid w:val="00375D23"/>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6359</Characters>
  <Application>Microsoft Office Word</Application>
  <DocSecurity>0</DocSecurity>
  <Lines>52</Lines>
  <Paragraphs>14</Paragraphs>
  <ScaleCrop>false</ScaleCrop>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2021-07-24T17:06:00Z</dcterms:created>
  <dcterms:modified xsi:type="dcterms:W3CDTF">2021-07-24T17:06:00Z</dcterms:modified>
</cp:coreProperties>
</file>